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方正小标宋简体" w:eastAsia="方正小标宋简体" w:cs="方正小标宋简体"/>
          <w:highlight w:val="none"/>
        </w:rPr>
      </w:pPr>
      <w:r>
        <w:rPr>
          <w:rFonts w:hint="eastAsia" w:ascii="方正小标宋简体" w:hAnsi="方正小标宋简体" w:eastAsia="方正小标宋简体" w:cs="方正小标宋简体"/>
          <w:highlight w:val="none"/>
        </w:rPr>
        <w:t>项目内容与要求</w:t>
      </w:r>
    </w:p>
    <w:p>
      <w:pPr>
        <w:pStyle w:val="4"/>
        <w:numPr>
          <w:ilvl w:val="0"/>
          <w:numId w:val="2"/>
        </w:numPr>
        <w:rPr>
          <w:highlight w:val="none"/>
        </w:rPr>
      </w:pPr>
      <w:r>
        <w:rPr>
          <w:rFonts w:hint="eastAsia"/>
          <w:highlight w:val="none"/>
        </w:rPr>
        <w:t>项目背景</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江苏省苏合投资运营集团有限公司是经江苏省政府同意,于2018年3月19日揭牌成立。主要承担省供销合作社对社有企业的“融、投、管、运”四大任务，负责社有资产投资运营管理</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注册资本10亿元。成员企业包括江苏省果品控股公司、江苏省苏瑞置业有限公司、江苏省棉麻（集团）有限公司、江苏省苏合农副产品展示展销中心有限公司、江苏苏合农业社会化服务有限公司、江苏苏合农批冷链物流有限公司、江苏先农电子商务有限公司、江苏省苏合金融服务有限公司等,产业涉及农业社会化服务、农产品流通、再生资源、日用消费品、城乡建设与商业地产、投资与金融服务等六大板块。</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目前各级子公司已经构建核算制度体系，但由于业态多、应用了多套ERP系统（</w:t>
      </w:r>
      <w:r>
        <w:rPr>
          <w:rFonts w:hint="eastAsia" w:ascii="Times New Roman" w:hAnsi="Times New Roman" w:eastAsia="仿宋" w:cs="Times New Roman"/>
          <w:sz w:val="32"/>
          <w:szCs w:val="32"/>
          <w:highlight w:val="none"/>
          <w:lang w:eastAsia="zh-CN"/>
        </w:rPr>
        <w:t>会计</w:t>
      </w:r>
      <w:r>
        <w:rPr>
          <w:rFonts w:ascii="Times New Roman" w:hAnsi="Times New Roman" w:eastAsia="仿宋" w:cs="Times New Roman"/>
          <w:sz w:val="32"/>
          <w:szCs w:val="32"/>
          <w:highlight w:val="none"/>
        </w:rPr>
        <w:t>核算为主</w:t>
      </w:r>
      <w:r>
        <w:rPr>
          <w:rFonts w:ascii="Times New Roman" w:hAnsi="Times New Roman" w:eastAsia="仿宋" w:cs="Times New Roman"/>
          <w:sz w:val="32"/>
          <w:szCs w:val="32"/>
          <w:highlight w:val="none"/>
        </w:rPr>
        <w:t>），烟囱式孤岛林立信息化系统建设未实现集团财务主数据统一、缺少信息系统整</w:t>
      </w:r>
      <w:bookmarkStart w:id="1" w:name="_GoBack"/>
      <w:bookmarkEnd w:id="1"/>
      <w:r>
        <w:rPr>
          <w:rFonts w:ascii="Times New Roman" w:hAnsi="Times New Roman" w:eastAsia="仿宋" w:cs="Times New Roman"/>
          <w:sz w:val="32"/>
          <w:szCs w:val="32"/>
          <w:highlight w:val="none"/>
        </w:rPr>
        <w:t>体规划，业财融合度不够，核算数据缺乏实时性，业务价值链与财务系统割裂，无法实现价值计量传递。</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现有管理数据来源不统一、信息时效性差，财务管理规范性较低，未建立集团企业财务标准化体系，财务信息质量较低，数据标准化程度低不能有效提供经营分析数据辅助决策支持，集团对下属企业财务管控力度不足。</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管理分析和合并报表主要依靠人工处理，缺乏数据统计分析工具，财务部门直接向业务部门提供决策和管理支持的实时性、准确性较弱，无法满足使用者需求。</w:t>
      </w:r>
    </w:p>
    <w:p>
      <w:pPr>
        <w:pStyle w:val="4"/>
        <w:numPr>
          <w:ilvl w:val="0"/>
          <w:numId w:val="2"/>
        </w:numPr>
        <w:rPr>
          <w:rFonts w:ascii="Times New Roman" w:hAnsi="Times New Roman" w:cs="Times New Roman"/>
          <w:highlight w:val="none"/>
        </w:rPr>
      </w:pPr>
      <w:r>
        <w:rPr>
          <w:rFonts w:ascii="Times New Roman" w:hAnsi="Times New Roman" w:cs="Times New Roman"/>
          <w:highlight w:val="none"/>
        </w:rPr>
        <w:t>管理需求</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项目目标</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基于以上现状，集团信息化建设采取分步走策略，本次信息化建设目标在于统一财务数据标准化体系，构建集团内外部报告管理体系，实现集团层面内外部报告自动汇总、自动合并，建立集团与各级子公司数据关联追溯分解路径，加强集团管控，保证集团财务数据一致性，同时满足集团对各级子公司资金实时可视，提高资金周转及调动效率，为领导决策及职能部门的管理提供强大的分析工具和有效的管控，满足各级组织管理人员对相关业务数据的查询、统计、分析需求，满足基层员工对其日常业务操作的信息系统支持。</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需求范围</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集团财务信息化建设项目模块范围如下：</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（1）财务核算：包含总账、固定资产、集团报表、集团财务合并模块功能； 系统应用人数为</w:t>
      </w:r>
      <w:r>
        <w:rPr>
          <w:rFonts w:hint="eastAsia" w:ascii="Times New Roman" w:hAnsi="Times New Roman" w:eastAsia="仿宋" w:cs="Times New Roman"/>
          <w:sz w:val="32"/>
          <w:szCs w:val="32"/>
          <w:highlight w:val="none"/>
        </w:rPr>
        <w:t>4</w:t>
      </w:r>
      <w:r>
        <w:rPr>
          <w:rFonts w:ascii="Times New Roman" w:hAnsi="Times New Roman" w:eastAsia="仿宋" w:cs="Times New Roman"/>
          <w:sz w:val="32"/>
          <w:szCs w:val="32"/>
          <w:highlight w:val="none"/>
        </w:rPr>
        <w:t>0人</w:t>
      </w:r>
      <w:r>
        <w:rPr>
          <w:rFonts w:hint="eastAsia" w:ascii="Times New Roman" w:hAnsi="Times New Roman" w:eastAsia="仿宋" w:cs="Times New Roman"/>
          <w:sz w:val="32"/>
          <w:szCs w:val="32"/>
          <w:highlight w:val="none"/>
          <w:lang w:eastAsia="zh-CN"/>
        </w:rPr>
        <w:t>，其中核算</w:t>
      </w:r>
      <w:r>
        <w:rPr>
          <w:rFonts w:hint="eastAsia" w:ascii="Times New Roman" w:hAnsi="Times New Roman" w:eastAsia="仿宋" w:cs="Times New Roman"/>
          <w:sz w:val="32"/>
          <w:szCs w:val="32"/>
          <w:highlight w:val="none"/>
          <w:lang w:val="en-US" w:eastAsia="zh-CN"/>
        </w:rPr>
        <w:t>30人，企业报表及合并10人</w:t>
      </w:r>
      <w:r>
        <w:rPr>
          <w:rFonts w:ascii="Times New Roman" w:hAnsi="Times New Roman" w:eastAsia="仿宋" w:cs="Times New Roman"/>
          <w:sz w:val="32"/>
          <w:szCs w:val="32"/>
          <w:highlight w:val="none"/>
        </w:rPr>
        <w:t>；</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（2）财资管理：包含现金管理、银企直联模块功能；支持第三方CA认证登录，CA用户数为20人，银行数量为4家。</w:t>
      </w:r>
    </w:p>
    <w:p>
      <w:pPr>
        <w:pStyle w:val="4"/>
        <w:numPr>
          <w:ilvl w:val="0"/>
          <w:numId w:val="2"/>
        </w:numPr>
        <w:rPr>
          <w:rFonts w:ascii="Times New Roman" w:hAnsi="Times New Roman" w:cs="Times New Roman"/>
          <w:highlight w:val="none"/>
        </w:rPr>
      </w:pPr>
      <w:r>
        <w:rPr>
          <w:rFonts w:ascii="Times New Roman" w:hAnsi="Times New Roman" w:cs="Times New Roman"/>
          <w:highlight w:val="none"/>
        </w:rPr>
        <w:t>技术要求</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软件技术架构</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对于业务管理模块要求采用三层(多层)B/S结构的方式进行架构设计，中间层采用组件化设计实现模块功能；数据访问层采用数据持久化技术实现数据的访问，以数据库连接池实现，并采用缓存的设计，以保证系统的性能。</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可用性能指标要求</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系统需保证7×24小时不间断稳定运行，出现故障应能及时告警。</w:t>
      </w:r>
    </w:p>
    <w:p>
      <w:pPr>
        <w:pStyle w:val="5"/>
        <w:numPr>
          <w:ilvl w:val="1"/>
          <w:numId w:val="2"/>
        </w:numPr>
        <w:rPr>
          <w:rFonts w:ascii="楷体" w:hAnsi="楷体" w:eastAsia="楷体" w:cs="楷体"/>
          <w:highlight w:val="none"/>
        </w:rPr>
      </w:pPr>
      <w:r>
        <w:rPr>
          <w:rFonts w:hint="eastAsia" w:ascii="楷体" w:hAnsi="楷体" w:eastAsia="楷体" w:cs="楷体"/>
          <w:highlight w:val="none"/>
        </w:rPr>
        <w:t>系统软硬</w:t>
      </w:r>
      <w:bookmarkStart w:id="0" w:name="_Toc300495413"/>
      <w:r>
        <w:rPr>
          <w:rFonts w:hint="eastAsia" w:ascii="楷体" w:hAnsi="楷体" w:eastAsia="楷体" w:cs="楷体"/>
          <w:highlight w:val="none"/>
        </w:rPr>
        <w:t>件等其它要求</w:t>
      </w:r>
    </w:p>
    <w:bookmarkEnd w:id="0"/>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（1）系统能够在Linux、AIX、Windows等主流操作系统下稳定的运行。</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（2）系统应支持主流数据库和中间件模式</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eastAsia="zh-CN"/>
        </w:rPr>
        <w:t>中间件要具有自主知识产权</w:t>
      </w:r>
      <w:r>
        <w:rPr>
          <w:rFonts w:ascii="Times New Roman" w:hAnsi="Times New Roman" w:eastAsia="仿宋" w:cs="Times New Roman"/>
          <w:sz w:val="32"/>
          <w:szCs w:val="32"/>
          <w:highlight w:val="none"/>
        </w:rPr>
        <w:t>。</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（3）系统应支持HP、IBM等主流小型机、虚拟机环境，以及X86服务器，支持现有硬件环境。</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（4）浏览器：可以兼容Edge、IE、Chrome、360等多种常用浏览器。</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系统安全性要求</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平台要提供完整的授权解决方案，构建全方面的安全保障体系，实现日志跟踪和记录，多层次的授权体系等安全措施保证系统数据不被窃取和破坏。</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身份标识与鉴别</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（1）应提供专用的登录控制模块对登录用户进行身份标识和鉴别。</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应提供用户身份标识唯一和鉴别信息复杂度检查功能，保证应用系统中不存在重复用户身份标识，身份鉴别信息不易被冒用。应启用身份鉴别、用户身份标识唯一性检查、用户身份鉴别信息复杂度检查以及登录失败处理功能，并根据安全策略配置相关参数。</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（3）应提供登录失败处理功能，可采取结束会话、限制非法登录次数和自动退出等措施。</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访问控制/权限管理</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（1）应提供访问控制功能，依据安全策略控制用户功能使用、数据访问的权限及其时限。</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用户的管理权限应按照边界清晰，且应授予不同账户为完成各自承担任务所需的最小权限，并在它们之间形成相互制约的关系。实施系统开发权、系统管理权和业务权的责任人应相互分离、相互监控，同时，系统应具有自动警示超权限异常操作的功能。</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（3）访问控制的覆盖范围应包括与资源访问相关的主体、客体及它们之间的操作。</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（4）应由授权主体配置访问控制策略，并严格限制默认账户的访问权限。</w:t>
      </w:r>
    </w:p>
    <w:p>
      <w:pPr>
        <w:rPr>
          <w:rFonts w:ascii="Times New Roman" w:hAnsi="Times New Roman" w:cs="Times New Roman"/>
          <w:highlight w:val="none"/>
        </w:rPr>
      </w:pP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通信完整性</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应采用密码技术保证通信过程中数据的完整性。在检测到完整性错误时，应提示用户采取必要的措施。</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通信保密性</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应采用有效措施实现数据传输的保密性，同时在检测到数据的保密性受到威胁时，应提示用户采取必要的措施。</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其它技术要求</w:t>
      </w:r>
    </w:p>
    <w:p>
      <w:pPr>
        <w:spacing w:line="560" w:lineRule="exact"/>
        <w:ind w:firstLine="640" w:firstLineChars="200"/>
        <w:rPr>
          <w:rFonts w:ascii="Times New Roman" w:hAnsi="Times New Roman" w:eastAsia="仿宋" w:cs="Times New Roman"/>
          <w:sz w:val="32"/>
          <w:szCs w:val="32"/>
          <w:highlight w:val="none"/>
        </w:rPr>
      </w:pPr>
      <w:r>
        <w:rPr>
          <w:rFonts w:hint="eastAsia" w:ascii="楷体" w:hAnsi="楷体" w:eastAsia="楷体" w:cs="楷体"/>
          <w:sz w:val="32"/>
          <w:szCs w:val="32"/>
          <w:highlight w:val="none"/>
        </w:rPr>
        <w:t>开放性和标准性原则：</w:t>
      </w:r>
      <w:r>
        <w:rPr>
          <w:rFonts w:ascii="Times New Roman" w:hAnsi="Times New Roman" w:eastAsia="仿宋" w:cs="Times New Roman"/>
          <w:sz w:val="32"/>
          <w:szCs w:val="32"/>
          <w:highlight w:val="none"/>
        </w:rPr>
        <w:t>投标方必须充分考虑业务集成与数据集成的开放性和标准性，要保证各系统间数据传递符合通用技术标准。</w:t>
      </w:r>
    </w:p>
    <w:p>
      <w:pPr>
        <w:spacing w:line="560" w:lineRule="exact"/>
        <w:ind w:firstLine="640" w:firstLineChars="200"/>
        <w:rPr>
          <w:rFonts w:ascii="Times New Roman" w:hAnsi="Times New Roman" w:eastAsia="仿宋" w:cs="Times New Roman"/>
          <w:sz w:val="32"/>
          <w:szCs w:val="32"/>
          <w:highlight w:val="none"/>
        </w:rPr>
      </w:pPr>
      <w:r>
        <w:rPr>
          <w:rFonts w:ascii="楷体" w:hAnsi="楷体" w:eastAsia="楷体" w:cs="楷体"/>
          <w:sz w:val="32"/>
          <w:szCs w:val="32"/>
          <w:highlight w:val="none"/>
        </w:rPr>
        <w:t>安全性及保密性原则：</w:t>
      </w:r>
      <w:r>
        <w:rPr>
          <w:rFonts w:ascii="Times New Roman" w:hAnsi="Times New Roman" w:eastAsia="仿宋" w:cs="Times New Roman"/>
          <w:sz w:val="32"/>
          <w:szCs w:val="32"/>
          <w:highlight w:val="none"/>
        </w:rPr>
        <w:t>投标方所提供的产品应能注意信息的保护，针对不同的应用和不同的网络通信环境提供针对性的措施，包括系统安全机制、数据存取、查阅的权限控制、身份标识与鉴别等。应具有完整安全的保障体系，确保系统的通信安全、存储安全及数据安全，并应提供安全缺陷防范及安全审计相关功能。</w:t>
      </w:r>
    </w:p>
    <w:p>
      <w:pPr>
        <w:spacing w:line="560" w:lineRule="exact"/>
        <w:ind w:firstLine="640" w:firstLineChars="200"/>
        <w:rPr>
          <w:rFonts w:ascii="Times New Roman" w:hAnsi="Times New Roman" w:eastAsia="仿宋" w:cs="Times New Roman"/>
          <w:sz w:val="32"/>
          <w:szCs w:val="32"/>
          <w:highlight w:val="none"/>
        </w:rPr>
      </w:pPr>
      <w:r>
        <w:rPr>
          <w:rFonts w:ascii="楷体" w:hAnsi="楷体" w:eastAsia="楷体" w:cs="楷体"/>
          <w:sz w:val="32"/>
          <w:szCs w:val="32"/>
          <w:highlight w:val="none"/>
        </w:rPr>
        <w:t>可拓展性原则：</w:t>
      </w:r>
      <w:r>
        <w:rPr>
          <w:rFonts w:ascii="Times New Roman" w:hAnsi="Times New Roman" w:eastAsia="仿宋" w:cs="Times New Roman"/>
          <w:sz w:val="32"/>
          <w:szCs w:val="32"/>
          <w:highlight w:val="none"/>
        </w:rPr>
        <w:t>投标方提供的产品应具备较强的二次开发能力，保证业主能通过自行开发，实现系统功能扩充。</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易维护性及价格合理原则：产品应具有方便、快捷的工具和有效的维护管理解决方案，同时具有良好的性价比。</w:t>
      </w:r>
    </w:p>
    <w:p>
      <w:pPr>
        <w:pStyle w:val="4"/>
        <w:numPr>
          <w:ilvl w:val="0"/>
          <w:numId w:val="2"/>
        </w:numPr>
        <w:rPr>
          <w:rFonts w:ascii="Times New Roman" w:hAnsi="Times New Roman" w:cs="Times New Roman"/>
          <w:highlight w:val="none"/>
        </w:rPr>
      </w:pPr>
      <w:r>
        <w:rPr>
          <w:rFonts w:ascii="Times New Roman" w:hAnsi="Times New Roman" w:cs="Times New Roman"/>
          <w:highlight w:val="none"/>
        </w:rPr>
        <w:t>功能要求</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财务集中管理</w:t>
      </w:r>
    </w:p>
    <w:p>
      <w:pPr>
        <w:pStyle w:val="6"/>
        <w:rPr>
          <w:rFonts w:ascii="Times New Roman" w:hAnsi="Times New Roman" w:eastAsia="楷体" w:cs="Times New Roman"/>
          <w:sz w:val="30"/>
          <w:szCs w:val="30"/>
          <w:highlight w:val="none"/>
        </w:rPr>
      </w:pPr>
      <w:r>
        <w:rPr>
          <w:rFonts w:ascii="Times New Roman" w:hAnsi="Times New Roman" w:eastAsia="楷体" w:cs="Times New Roman"/>
          <w:sz w:val="30"/>
          <w:szCs w:val="30"/>
          <w:highlight w:val="none"/>
        </w:rPr>
        <w:t>4.1.1总账</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总账模块除了能提供期初余额、凭证录入与审核、凭证记账、凭证查询、账簿查询打印、期末处理（试算平衡、月末结转、结账、账簿查询）等基本核算功能。还可以根据权限及时查询不同核算单位的财务数据。</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总账系统要求在所有的科目账簿查询和辅助账簿查询中，必须提供可以包含实时凭证、未记账凭证的查询。此外，在查询的过程中，必须提供从总账→明细账→凭证→原始单据的穿透式查询。账簿查询必须提供多单位、多选项的查询功能，可以按照多个公司的明细数据查询，也可以自由选择汇总范围进行查询。能够提供内部管理的辅助台账，如收入台账、成本费用台账等等。</w:t>
      </w:r>
    </w:p>
    <w:p>
      <w:pPr>
        <w:pStyle w:val="6"/>
        <w:rPr>
          <w:rFonts w:ascii="Times New Roman" w:hAnsi="Times New Roman" w:eastAsia="楷体" w:cs="Times New Roman"/>
          <w:sz w:val="30"/>
          <w:szCs w:val="30"/>
          <w:highlight w:val="none"/>
        </w:rPr>
      </w:pPr>
      <w:r>
        <w:rPr>
          <w:rFonts w:ascii="Times New Roman" w:hAnsi="Times New Roman" w:eastAsia="楷体" w:cs="Times New Roman"/>
          <w:sz w:val="30"/>
          <w:szCs w:val="30"/>
          <w:highlight w:val="none"/>
        </w:rPr>
        <w:t>4.1.2固定资产</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固定资产系统可以设置固定资产卡片项目，固定资产实现编号、多重分类管理，自行定义折旧方法，实现按使用年限逐月计提、不同编码的资产按照不同的折旧方法自动计提折旧并进行相应的账务处理。能够进行固定资产增减变动，总分类及明细核算；能够提供固定资产登记簿以及各类总分类明细账；能够提供各类有关资产变化、折旧提取等统计报表。</w:t>
      </w:r>
    </w:p>
    <w:p>
      <w:pPr>
        <w:pStyle w:val="6"/>
        <w:rPr>
          <w:rFonts w:ascii="Times New Roman" w:hAnsi="Times New Roman" w:eastAsia="楷体" w:cs="Times New Roman"/>
          <w:sz w:val="30"/>
          <w:szCs w:val="30"/>
          <w:highlight w:val="none"/>
        </w:rPr>
      </w:pPr>
      <w:r>
        <w:rPr>
          <w:rFonts w:ascii="Times New Roman" w:hAnsi="Times New Roman" w:eastAsia="楷体" w:cs="Times New Roman"/>
          <w:sz w:val="30"/>
          <w:szCs w:val="30"/>
          <w:highlight w:val="none"/>
        </w:rPr>
        <w:t>4.1.3集团报表与财务合并</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集团报表管理中的关键目标是：根据集团报表体系和编制的要求，通过数据采集工具获取编制各类报表所需的财务和业务数据，在报表编制平台上编制、生成个别报表、汇总报表、合并报表及各类分析报表，并最终通过发布工具发布各类报表。能够解决以下关键问题：</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（1）构建集团层面的满足不同管理要求的报告体系；</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（2）快速完成合并报表的编制；</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（3）灵活地利用各类报表数据为管理决策提供支持。</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实现集团与各子公司财务会计制度规范化，保证集团财务信息的统一性、可比性。通过对财务核算信息、辅助核算信息的汇总合并，能及时、准确的进行信息披露。</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报表及合并报表，实现总体功能要求：</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（1）设置集团统一的会计核算科目编码、客户（项目）编码等信息；</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（2）设置集团统一的各种财务报表模板，包括对外公告报表（含合并附注编制所需特定格式报表）和对内的管理报表；</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（3）自动进行集团内部往来对账，生成对账明细情况表，自动生成抵销分录；</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（4）能够自动进行报表汇总、合并，能够根据公司组织结构情况进行各类报表汇总、合并，通过抵销内部事项，生成集团汇总、合并报表（对外公告报表和内部管理报表），自动生成抵销分录；</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5）可实现会计报表、各类管理报表的编制、抵销汇总、合并、分析，各类报表可按类别分类管理。可实现报表实时查询，并可由汇总报表数据追踪查询到子公司账簿直至到原始凭证；可自定义报表汇总合并的范围、时间；可将数据来源值换算为以百元、千元、万元等计量；可定义对报表公式和格式包括报表的行高、列宽、字体、字号、颜色等是否允许修改；可选择对多类报表、多张报表、单张报表刷新计算或取数；可自动抵销影响合并的报表因素，提供基于股权关系结构下的合并报表功能。</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合并报表具体功能要求如下：</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（1）制定合并报表的格式、内部交易的抵销项目、抵销关系，定义参与合并报表的组织范围和各单位的用户；</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（2）录入报表数据和内部交易数据，并可以根据会计政策、法律法规等的差异，调整个别会计报表数据和合并报表期初数据；</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（3）单位根据内部交易数据和抵销关系，选择对账单位后，系统自动对账；</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（4）对账结果自动产生抵销分录、生成合并工作底稿，并据此生成合并报表；</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（5）合并方法、合并周期、折算规则和抵销模板由集团统一定义，合并范围、报表单位结构由集团统一确定；</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6）未能统一的个别报表，需要根据集团统一要求进行个别报表调整。集团可根据需求自定义报表任务，调整后的个别报表通过确定合并范围，根据已定义的抵销模板，将内部交易数据进行核对；根据抵销模板自动生成抵销分录。抵销分录支持手工调整。完成抵销并生成相关底稿后，自动按任务生成合并报表。</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财资管理</w:t>
      </w:r>
    </w:p>
    <w:p>
      <w:pPr>
        <w:pStyle w:val="6"/>
        <w:rPr>
          <w:rFonts w:ascii="Times New Roman" w:hAnsi="Times New Roman" w:eastAsia="楷体" w:cs="Times New Roman"/>
          <w:sz w:val="30"/>
          <w:szCs w:val="30"/>
          <w:highlight w:val="none"/>
        </w:rPr>
      </w:pPr>
      <w:r>
        <w:rPr>
          <w:rFonts w:ascii="Times New Roman" w:hAnsi="Times New Roman" w:eastAsia="楷体" w:cs="Times New Roman"/>
          <w:sz w:val="30"/>
          <w:szCs w:val="30"/>
          <w:highlight w:val="none"/>
        </w:rPr>
        <w:t>4.2.1现金管理</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实现对日常业务引起的收付款项以及内部往来款项划拨的控制与管理，以达到规范单位的资金操作，降低费用成本、把好内部资金关口的目的。包括集团及各级子公司的对外收付款、划账、银行到账通知等业务。</w:t>
      </w:r>
    </w:p>
    <w:p>
      <w:pPr>
        <w:pStyle w:val="6"/>
        <w:rPr>
          <w:rFonts w:ascii="Times New Roman" w:hAnsi="Times New Roman" w:eastAsia="楷体" w:cs="Times New Roman"/>
          <w:sz w:val="30"/>
          <w:szCs w:val="30"/>
          <w:highlight w:val="none"/>
        </w:rPr>
      </w:pPr>
      <w:r>
        <w:rPr>
          <w:rFonts w:ascii="Times New Roman" w:hAnsi="Times New Roman" w:eastAsia="楷体" w:cs="Times New Roman"/>
          <w:sz w:val="30"/>
          <w:szCs w:val="30"/>
          <w:highlight w:val="none"/>
        </w:rPr>
        <w:t>4.2.2银企直联</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实现集团ERP与银行系统的直联，实现指令不落地处理。同时，整合各家银行的数据到一个系统内，便于进行多家银行的沉淀资金统计分析。系统提供实时下载银行账户的余额、对账单，实现实时监控，对账户主动预警，避免传统的银行对账单传递过程中可能发生的人为造假，保证资金信息的真实性，提供更为丰富的查询和报表，建立企业全面资金决策支持调度平台。</w:t>
      </w:r>
    </w:p>
    <w:p>
      <w:pPr>
        <w:pStyle w:val="6"/>
        <w:rPr>
          <w:rFonts w:ascii="Times New Roman" w:hAnsi="Times New Roman" w:eastAsia="楷体" w:cs="Times New Roman"/>
          <w:sz w:val="30"/>
          <w:szCs w:val="30"/>
          <w:highlight w:val="none"/>
        </w:rPr>
      </w:pPr>
      <w:r>
        <w:rPr>
          <w:rFonts w:ascii="Times New Roman" w:hAnsi="Times New Roman" w:eastAsia="楷体" w:cs="Times New Roman"/>
          <w:sz w:val="30"/>
          <w:szCs w:val="30"/>
          <w:highlight w:val="none"/>
        </w:rPr>
        <w:t>4.2.3安全登录资金系统的CA认证</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CA认证，即电子认证服务，是指为电子签名相关各方提供真实性、可靠性验证的活动。证书颁发机构（CA, Certificate Authority）即颁发数字证书的机构。是负责发放和管理数字证书的权威机构，并作为电子商务交易中受信任的第三方，承担公钥体系中公钥的合法性检验的责任）必须为权威的经过供应商及其用户多年应用验证的第三方提供，可以由本次项目供应商代为购买，必须包含数字证书认证系统和相应的安全应用软件，支持集团及下属单位发放电子钥匙（U-key）以方便相关人员安全登录资金管理系统进行操作。</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应用支撑平台</w:t>
      </w:r>
    </w:p>
    <w:p>
      <w:pPr>
        <w:spacing w:line="560" w:lineRule="exact"/>
        <w:ind w:firstLine="640" w:firstLineChars="200"/>
        <w:rPr>
          <w:rFonts w:hint="eastAsia" w:ascii="Times New Roman" w:hAnsi="Times New Roman" w:eastAsia="仿宋" w:cs="Times New Roman"/>
          <w:sz w:val="32"/>
          <w:szCs w:val="32"/>
          <w:highlight w:val="none"/>
          <w:lang w:eastAsia="zh-CN"/>
        </w:rPr>
      </w:pPr>
      <w:r>
        <w:rPr>
          <w:rFonts w:ascii="Times New Roman" w:hAnsi="Times New Roman" w:eastAsia="仿宋" w:cs="Times New Roman"/>
          <w:sz w:val="32"/>
          <w:szCs w:val="32"/>
          <w:highlight w:val="none"/>
        </w:rPr>
        <w:t>平台具备较好的扩展性及二次开发能力，具有先进、安全可靠、开放的相关技术，包括组织架构管理、统一用户管理、权限管理、消息服务、消息交换工具、运行监控管理、应用中间件、数据库、应用集成框架、内容管理工具、工作流、单点登录、门户、二次开发、表单设计、报表制作展示工具、个性化定制和其他组件工具，采用统一的组织架构管理系统，具备快速构建流程化业务应用的能力。</w:t>
      </w:r>
    </w:p>
    <w:p>
      <w:pPr>
        <w:pStyle w:val="4"/>
        <w:numPr>
          <w:ilvl w:val="0"/>
          <w:numId w:val="2"/>
        </w:numPr>
        <w:rPr>
          <w:rFonts w:ascii="Times New Roman" w:hAnsi="Times New Roman" w:cs="Times New Roman"/>
          <w:highlight w:val="none"/>
        </w:rPr>
      </w:pPr>
      <w:r>
        <w:rPr>
          <w:rFonts w:ascii="Times New Roman" w:hAnsi="Times New Roman" w:cs="Times New Roman"/>
          <w:highlight w:val="none"/>
        </w:rPr>
        <w:t>实施工作要求</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投标人必须提供项目的实施计划，具体包括本项目的工期安排、项目进度。</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项目人员配置</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为保证系统能长期安全、可靠、高效的运行，各投标人须按投标文件中的人员派遣有相关资质和经验的人员完成各阶段的工作。</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培训</w:t>
      </w:r>
    </w:p>
    <w:p>
      <w:pPr>
        <w:spacing w:line="560" w:lineRule="exact"/>
        <w:ind w:firstLine="640" w:firstLineChars="200"/>
        <w:rPr>
          <w:rFonts w:ascii="Times New Roman" w:hAnsi="Times New Roman" w:eastAsia="仿宋" w:cs="Times New Roman"/>
          <w:sz w:val="32"/>
          <w:szCs w:val="32"/>
          <w:highlight w:val="none"/>
          <w:lang w:val="zh-CN"/>
        </w:rPr>
      </w:pPr>
      <w:r>
        <w:rPr>
          <w:rFonts w:ascii="Times New Roman" w:hAnsi="Times New Roman" w:eastAsia="仿宋" w:cs="Times New Roman"/>
          <w:sz w:val="32"/>
          <w:szCs w:val="32"/>
          <w:highlight w:val="none"/>
          <w:lang w:val="zh-CN"/>
        </w:rPr>
        <w:t>培训内容应全面、合理，贴近产品与招标人实际应用情况的，条理清晰便于理解，具有较强的操作指导性；培训内容与不同岗位角色（或业务单元）操作手册高度融合</w:t>
      </w:r>
      <w:r>
        <w:rPr>
          <w:rFonts w:ascii="Times New Roman" w:hAnsi="Times New Roman" w:eastAsia="仿宋" w:cs="Times New Roman"/>
          <w:sz w:val="32"/>
          <w:szCs w:val="32"/>
          <w:highlight w:val="none"/>
        </w:rPr>
        <w:t>。</w:t>
      </w:r>
    </w:p>
    <w:p>
      <w:pPr>
        <w:pStyle w:val="12"/>
        <w:keepNext/>
        <w:numPr>
          <w:ilvl w:val="2"/>
          <w:numId w:val="3"/>
        </w:numPr>
        <w:spacing w:before="156" w:beforeLines="50" w:after="156" w:afterLines="50" w:line="360" w:lineRule="auto"/>
        <w:ind w:firstLineChars="0"/>
        <w:outlineLvl w:val="4"/>
        <w:rPr>
          <w:rFonts w:ascii="Times New Roman" w:hAnsi="Times New Roman" w:eastAsia="黑体" w:cs="Times New Roman"/>
          <w:b/>
          <w:bCs/>
          <w:vanish/>
          <w:color w:val="000000" w:themeColor="text1"/>
          <w:sz w:val="24"/>
          <w:highlight w:val="none"/>
          <w14:textFill>
            <w14:solidFill>
              <w14:schemeClr w14:val="tx1"/>
            </w14:solidFill>
          </w14:textFill>
        </w:rPr>
      </w:pPr>
    </w:p>
    <w:p>
      <w:pPr>
        <w:pStyle w:val="12"/>
        <w:keepNext/>
        <w:numPr>
          <w:ilvl w:val="2"/>
          <w:numId w:val="3"/>
        </w:numPr>
        <w:spacing w:before="156" w:beforeLines="50" w:after="156" w:afterLines="50" w:line="360" w:lineRule="auto"/>
        <w:ind w:firstLineChars="0"/>
        <w:outlineLvl w:val="3"/>
        <w:rPr>
          <w:rFonts w:ascii="Times New Roman" w:hAnsi="Times New Roman" w:eastAsia="黑体" w:cs="Times New Roman"/>
          <w:b/>
          <w:bCs/>
          <w:vanish/>
          <w:color w:val="000000" w:themeColor="text1"/>
          <w:sz w:val="24"/>
          <w:highlight w:val="none"/>
          <w14:textFill>
            <w14:solidFill>
              <w14:schemeClr w14:val="tx1"/>
            </w14:solidFill>
          </w14:textFill>
        </w:rPr>
      </w:pPr>
    </w:p>
    <w:p>
      <w:pPr>
        <w:pStyle w:val="6"/>
        <w:rPr>
          <w:rFonts w:ascii="Times New Roman" w:hAnsi="Times New Roman" w:eastAsia="楷体" w:cs="Times New Roman"/>
          <w:sz w:val="30"/>
          <w:szCs w:val="30"/>
          <w:highlight w:val="none"/>
        </w:rPr>
      </w:pPr>
      <w:r>
        <w:rPr>
          <w:rFonts w:ascii="Times New Roman" w:hAnsi="Times New Roman" w:eastAsia="楷体" w:cs="Times New Roman"/>
          <w:sz w:val="30"/>
          <w:szCs w:val="30"/>
          <w:highlight w:val="none"/>
        </w:rPr>
        <w:t>5.2.1制定培训方案和计划</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中标人了解用户培训需求、业务现状和培训规模后，按照实际情况和特定业务场景，编写《培训方案》。</w:t>
      </w:r>
    </w:p>
    <w:p>
      <w:pPr>
        <w:pStyle w:val="6"/>
        <w:rPr>
          <w:rFonts w:ascii="Times New Roman" w:hAnsi="Times New Roman" w:eastAsia="楷体" w:cs="Times New Roman"/>
          <w:sz w:val="30"/>
          <w:szCs w:val="30"/>
          <w:highlight w:val="none"/>
        </w:rPr>
      </w:pPr>
      <w:r>
        <w:rPr>
          <w:rFonts w:ascii="Times New Roman" w:hAnsi="Times New Roman" w:eastAsia="楷体" w:cs="Times New Roman"/>
          <w:sz w:val="30"/>
          <w:szCs w:val="30"/>
          <w:highlight w:val="none"/>
        </w:rPr>
        <w:t>5.2.2培训课件制作</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制作面向管理员和最终用户的系统各模块培训PPT、操作手册、使用说明书、操作视频等多样化的培训课件。</w:t>
      </w:r>
    </w:p>
    <w:p>
      <w:pPr>
        <w:pStyle w:val="6"/>
        <w:rPr>
          <w:rFonts w:ascii="Times New Roman" w:hAnsi="Times New Roman" w:eastAsia="楷体" w:cs="Times New Roman"/>
          <w:sz w:val="30"/>
          <w:szCs w:val="30"/>
          <w:highlight w:val="none"/>
        </w:rPr>
      </w:pPr>
      <w:r>
        <w:rPr>
          <w:rFonts w:ascii="Times New Roman" w:hAnsi="Times New Roman" w:eastAsia="楷体" w:cs="Times New Roman"/>
          <w:sz w:val="30"/>
          <w:szCs w:val="30"/>
          <w:highlight w:val="none"/>
        </w:rPr>
        <w:t>5.2.3培训环境准备</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中标人必须完成集团及子分公司系统培训的环境准备，包括：提出培训环境软硬件要求（包括服务器、软件中间件等），部署培训系统，准备培训演示数据（如：培训讲解数据、业务流程、演示帐号权限配置），验证培训环境功能、流程是否正常。</w:t>
      </w:r>
    </w:p>
    <w:p>
      <w:pPr>
        <w:pStyle w:val="6"/>
        <w:rPr>
          <w:rFonts w:ascii="Times New Roman" w:hAnsi="Times New Roman" w:eastAsia="楷体" w:cs="Times New Roman"/>
          <w:sz w:val="30"/>
          <w:szCs w:val="30"/>
          <w:highlight w:val="none"/>
        </w:rPr>
      </w:pPr>
      <w:r>
        <w:rPr>
          <w:rFonts w:ascii="Times New Roman" w:hAnsi="Times New Roman" w:eastAsia="楷体" w:cs="Times New Roman"/>
          <w:sz w:val="30"/>
          <w:szCs w:val="30"/>
          <w:highlight w:val="none"/>
        </w:rPr>
        <w:t>5.2.4开展系统全面的培训及应用演练</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按照《培训方案》要求建立系统化的培训机制，组建具有丰富培训经验的团队，按照不同的培训对象，对集团及子分公司分别进行培训，包括：</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（1）系统操作人员</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培训内容包括系统功能操作及相关业务知识，实现相关业务在系统的有效应用。</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（2）管理人员培训</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培训内容包括系统查询与报表获取数据、系统流程、功能与特性等，实现有效地监控日常业务活动。</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（3）系统管理维护人员培训</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培训内容包括系统日常功能维护知识、补丁更新、系统备份还原、系统运行环境优化、系统参数调整、异常问题恢复解决等。</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上线切换</w:t>
      </w:r>
    </w:p>
    <w:p>
      <w:pPr>
        <w:pStyle w:val="12"/>
        <w:keepNext/>
        <w:numPr>
          <w:ilvl w:val="2"/>
          <w:numId w:val="3"/>
        </w:numPr>
        <w:spacing w:before="156" w:beforeLines="50" w:after="156" w:afterLines="50" w:line="360" w:lineRule="auto"/>
        <w:ind w:firstLineChars="0"/>
        <w:outlineLvl w:val="4"/>
        <w:rPr>
          <w:rFonts w:ascii="Times New Roman" w:hAnsi="Times New Roman" w:eastAsia="黑体" w:cs="Times New Roman"/>
          <w:b/>
          <w:bCs/>
          <w:vanish/>
          <w:color w:val="000000" w:themeColor="text1"/>
          <w:sz w:val="24"/>
          <w:highlight w:val="none"/>
          <w14:textFill>
            <w14:solidFill>
              <w14:schemeClr w14:val="tx1"/>
            </w14:solidFill>
          </w14:textFill>
        </w:rPr>
      </w:pPr>
    </w:p>
    <w:p>
      <w:pPr>
        <w:pStyle w:val="6"/>
        <w:rPr>
          <w:rFonts w:ascii="Times New Roman" w:hAnsi="Times New Roman" w:eastAsia="楷体" w:cs="Times New Roman"/>
          <w:sz w:val="30"/>
          <w:szCs w:val="30"/>
          <w:highlight w:val="none"/>
        </w:rPr>
      </w:pPr>
      <w:r>
        <w:rPr>
          <w:rFonts w:ascii="Times New Roman" w:hAnsi="Times New Roman" w:eastAsia="楷体" w:cs="Times New Roman"/>
          <w:sz w:val="30"/>
          <w:szCs w:val="30"/>
          <w:highlight w:val="none"/>
        </w:rPr>
        <w:t>5.3.1确定系统上线方案及切换计划</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要求中标人与集团及子分公司讨论并编制《系统上线方案》及切换计划。协助集团编制《系统切换上线应急方案》，提出合理可行性专业见解。</w:t>
      </w:r>
    </w:p>
    <w:p>
      <w:pPr>
        <w:pStyle w:val="6"/>
        <w:rPr>
          <w:rFonts w:ascii="Times New Roman" w:hAnsi="Times New Roman" w:eastAsia="楷体" w:cs="Times New Roman"/>
          <w:sz w:val="30"/>
          <w:szCs w:val="30"/>
          <w:highlight w:val="none"/>
        </w:rPr>
      </w:pPr>
      <w:r>
        <w:rPr>
          <w:rFonts w:ascii="Times New Roman" w:hAnsi="Times New Roman" w:eastAsia="楷体" w:cs="Times New Roman"/>
          <w:sz w:val="30"/>
          <w:szCs w:val="30"/>
          <w:highlight w:val="none"/>
        </w:rPr>
        <w:t>5.3.2系统正式环境切换</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要求中标人做好上线切换准备与检查工作，并根据《系统上线方案》、《系统切换上线应急方案》，进行系统正式环境切换，全面监控系统运行状态，收集用户反馈问题，解决系统切换过程中出现的问题，并编制《上线运行报告》。</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运行维护</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提供不少于一年的免费质保，包括软件的升级、技术维护等，质保期自验收合格之日算起。其运行维护工作包含但不限于以下内容：</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（1）对集团及子分公司提出用户问题（包括前台用户操作使用和后台配置管理等现场可以直接处理的问题）进行处理与管理，建立用户问题管理机制，在用户问题管理做到全过程的闭环管理。</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（2）系统运行环境监控、预警及调优</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要求中标人配合相关厂商进行系统运行环境调优与日常维护（包括配合服务器平台调优与日常维护工作进行性能、网络测试，并对出现的问题提供技术分析支持）。若是系统发生性能异常，中标人必须分析系统运行环境（服务器、数据库软件及中间件）并定位异常原因及时进行处理。</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要求中标人配合相关厂商对系统运行环境进行监控，对异常情况进行预警，具体包括但不限于以下内容：</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操作系统层面：监控机器cpu、内存、io的使用率；</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数据库层面：监控数据库的内存命中率、等待事件、性能SQL、空间占用率、警告日志等；</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中间件层面：查看JVM的内存使用率、堆栈信息、连接池状态信息，监控对应请求的SQL及其执行计划，可以随时结束阻塞线程而不会影响系统的正常使用；</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网络环境层面：监控网络吞吐量、网络丢包率。</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质量管理</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投标人应负责所有交付内容和产品的质量。投标人应建立适当和可行的质量保证体系，并保证项目的实施、竣工和修补缺陷的全部过程符合该质量保证体系的要求。</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风险管理</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在项目实施过程中，投标人须对整个项目进行项目风险评估和管理。投标人须定期地对项目风险进行评估，并对风险应对计划进行审计和调整。</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在项目实施过程中，出现的对项目影响重大的风险，投标人须提出风险应对措施，如实向最终用户汇报，应对风险并控制风险发生、控制风险的影响，保证项目符合项目总体要求和目标。</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部署要求</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系统采用一级部署多级应用模式，系统将部署在</w:t>
      </w:r>
      <w:r>
        <w:rPr>
          <w:rFonts w:ascii="Times New Roman" w:hAnsi="Times New Roman" w:eastAsia="仿宋" w:cs="Times New Roman"/>
          <w:sz w:val="32"/>
          <w:szCs w:val="32"/>
          <w:highlight w:val="none"/>
        </w:rPr>
        <w:t>集团总部</w:t>
      </w:r>
      <w:r>
        <w:rPr>
          <w:rFonts w:ascii="Times New Roman" w:hAnsi="Times New Roman" w:eastAsia="仿宋" w:cs="Times New Roman"/>
          <w:sz w:val="32"/>
          <w:szCs w:val="32"/>
          <w:highlight w:val="none"/>
        </w:rPr>
        <w:t>，业务应用可在各子分公司或其下属单位实现，各子分公司通过网络访问进行业务处理。</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中标人须提出系统部署所需要得配套软硬件平台配置的建议方案。</w:t>
      </w:r>
    </w:p>
    <w:p>
      <w:pPr>
        <w:pStyle w:val="5"/>
        <w:numPr>
          <w:ilvl w:val="1"/>
          <w:numId w:val="2"/>
        </w:numPr>
        <w:rPr>
          <w:rFonts w:ascii="Times New Roman" w:hAnsi="Times New Roman" w:eastAsia="楷体" w:cs="Times New Roman"/>
          <w:highlight w:val="none"/>
        </w:rPr>
      </w:pPr>
      <w:r>
        <w:rPr>
          <w:rFonts w:ascii="Times New Roman" w:hAnsi="Times New Roman" w:eastAsia="楷体" w:cs="Times New Roman"/>
          <w:highlight w:val="none"/>
        </w:rPr>
        <w:t>服务响应要求</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提供一年质保期，质保期内提供对软件缺陷修复服务、电话咨询、现场技术支持、远程技术支持服务，投标人需要满足一下服务响应要求：</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（1）服务响应方式：电话咨询、远程支持、现场支持；</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（2）服务响应时段：全年7*12小时（08:00至20:00）；</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（3）服务反馈时长：用户问题4小时以内响应并解决。</w:t>
      </w:r>
    </w:p>
    <w:p>
      <w:pPr>
        <w:spacing w:line="560" w:lineRule="exact"/>
        <w:ind w:firstLine="640" w:firstLineChars="200"/>
        <w:rPr>
          <w:rFonts w:ascii="仿宋" w:hAnsi="仿宋" w:eastAsia="仿宋" w:cs="仿宋"/>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1793A"/>
    <w:multiLevelType w:val="multilevel"/>
    <w:tmpl w:val="9B41793A"/>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ascii="Times New Roman" w:hAnsi="Times New Roman" w:cs="Times New Roman"/>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3D6455B2"/>
    <w:multiLevelType w:val="multilevel"/>
    <w:tmpl w:val="3D6455B2"/>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616019"/>
    <w:multiLevelType w:val="multilevel"/>
    <w:tmpl w:val="50616019"/>
    <w:lvl w:ilvl="0" w:tentative="0">
      <w:start w:val="1"/>
      <w:numFmt w:val="chineseCountingThousand"/>
      <w:pStyle w:val="2"/>
      <w:lvlText w:val="%1、"/>
      <w:lvlJc w:val="left"/>
      <w:pPr>
        <w:tabs>
          <w:tab w:val="left" w:pos="420"/>
        </w:tabs>
        <w:ind w:left="420" w:hanging="420"/>
      </w:pPr>
      <w:rPr>
        <w:rFonts w:hint="eastAsia"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5B"/>
    <w:rsid w:val="004D0553"/>
    <w:rsid w:val="00EA235B"/>
    <w:rsid w:val="03F9369C"/>
    <w:rsid w:val="058C5590"/>
    <w:rsid w:val="06802118"/>
    <w:rsid w:val="0AB06EE0"/>
    <w:rsid w:val="0C332C57"/>
    <w:rsid w:val="15BE4D50"/>
    <w:rsid w:val="195F0373"/>
    <w:rsid w:val="1A3437BC"/>
    <w:rsid w:val="2721302D"/>
    <w:rsid w:val="280A2EDE"/>
    <w:rsid w:val="28526825"/>
    <w:rsid w:val="2A471701"/>
    <w:rsid w:val="2B205146"/>
    <w:rsid w:val="2B615A53"/>
    <w:rsid w:val="2C6C7C54"/>
    <w:rsid w:val="32C708F1"/>
    <w:rsid w:val="330632CA"/>
    <w:rsid w:val="34B003C2"/>
    <w:rsid w:val="354923C6"/>
    <w:rsid w:val="36775448"/>
    <w:rsid w:val="376B06D0"/>
    <w:rsid w:val="39FE233B"/>
    <w:rsid w:val="3B4F2E1D"/>
    <w:rsid w:val="3BE3148E"/>
    <w:rsid w:val="3E7C3189"/>
    <w:rsid w:val="40672AAF"/>
    <w:rsid w:val="454028C2"/>
    <w:rsid w:val="4609011B"/>
    <w:rsid w:val="4D4C57FF"/>
    <w:rsid w:val="4FE52A5C"/>
    <w:rsid w:val="50484ACE"/>
    <w:rsid w:val="54635077"/>
    <w:rsid w:val="5A8174BA"/>
    <w:rsid w:val="5C8D52DE"/>
    <w:rsid w:val="5D0B11FF"/>
    <w:rsid w:val="5E8E4115"/>
    <w:rsid w:val="63D70451"/>
    <w:rsid w:val="68DE70DB"/>
    <w:rsid w:val="6A202F7F"/>
    <w:rsid w:val="6FCD23F3"/>
    <w:rsid w:val="727F41BF"/>
    <w:rsid w:val="783B4618"/>
    <w:rsid w:val="78A66F0E"/>
    <w:rsid w:val="7A5B0E10"/>
    <w:rsid w:val="7F451C6F"/>
    <w:rsid w:val="7F4B1535"/>
    <w:rsid w:val="7FAA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after="290" w:line="376" w:lineRule="auto"/>
      <w:outlineLvl w:val="4"/>
    </w:pPr>
    <w:rPr>
      <w:b/>
      <w:bCs/>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numPr>
        <w:ilvl w:val="0"/>
        <w:numId w:val="1"/>
      </w:numPr>
      <w:tabs>
        <w:tab w:val="left" w:pos="2020"/>
        <w:tab w:val="center" w:pos="4535"/>
        <w:tab w:val="clear" w:pos="420"/>
      </w:tabs>
      <w:spacing w:line="500" w:lineRule="exact"/>
      <w:ind w:left="0" w:firstLine="0"/>
      <w:outlineLvl w:val="0"/>
    </w:pPr>
    <w:rPr>
      <w:rFonts w:ascii="华文彩云" w:hAnsi="宋体" w:eastAsia="华文彩云"/>
      <w:color w:val="000000"/>
      <w:kern w:val="0"/>
      <w:sz w:val="24"/>
      <w:szCs w:val="20"/>
    </w:rPr>
  </w:style>
  <w:style w:type="paragraph" w:styleId="8">
    <w:name w:val="Normal Indent"/>
    <w:basedOn w:val="1"/>
    <w:qFormat/>
    <w:uiPriority w:val="0"/>
    <w:pPr>
      <w:ind w:firstLine="420"/>
    </w:pPr>
    <w:rPr>
      <w:lang w:val="zh-CN"/>
    </w:rPr>
  </w:style>
  <w:style w:type="paragraph" w:customStyle="1" w:styleId="11">
    <w:name w:val="模板正文"/>
    <w:basedOn w:val="1"/>
    <w:qFormat/>
    <w:uiPriority w:val="0"/>
    <w:pPr>
      <w:wordWrap w:val="0"/>
      <w:spacing w:before="120" w:beforeLines="50"/>
      <w:ind w:firstLine="426"/>
    </w:pPr>
    <w:rPr>
      <w:rFonts w:ascii="仿宋" w:hAnsi="仿宋" w:eastAsia="仿宋"/>
      <w:b/>
      <w:kern w:val="0"/>
      <w:sz w:val="28"/>
      <w:szCs w:val="2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16</Pages>
  <Words>953</Words>
  <Characters>5438</Characters>
  <Lines>45</Lines>
  <Paragraphs>12</Paragraphs>
  <TotalTime>165</TotalTime>
  <ScaleCrop>false</ScaleCrop>
  <LinksUpToDate>false</LinksUpToDate>
  <CharactersWithSpaces>6379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2021-10-08T06:36:00Z</dcterms:created>
  <dc:creator>yy</dc:creator>
  <cp:lastModifiedBy>仰望星空</cp:lastModifiedBy>
  <cp:lastPrinted>2021-10-11T01:41:22Z</cp:lastPrinted>
  <dcterms:modified xsi:type="dcterms:W3CDTF">2021-10-11T05:57:21Z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5D8722088CB348418B2F6E5867C0B82D</vt:lpwstr>
  </property>
</Properties>
</file>